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BBE85" w14:textId="4FFA70A2" w:rsidR="00C50A0E" w:rsidRPr="00463D54" w:rsidRDefault="00C50A0E">
      <w:pPr>
        <w:rPr>
          <w:rFonts w:ascii="Trebuchet MS" w:hAnsi="Trebuchet MS"/>
          <w:b/>
          <w:color w:val="333333"/>
          <w:sz w:val="20"/>
          <w:szCs w:val="20"/>
          <w:shd w:val="clear" w:color="auto" w:fill="FFFFFF"/>
        </w:rPr>
      </w:pPr>
      <w:r w:rsidRPr="00036EFE">
        <w:rPr>
          <w:rFonts w:ascii="Trebuchet MS" w:hAnsi="Trebuchet MS"/>
          <w:b/>
          <w:color w:val="333333"/>
          <w:sz w:val="20"/>
          <w:szCs w:val="20"/>
          <w:shd w:val="clear" w:color="auto" w:fill="FFFFFF"/>
        </w:rPr>
        <w:t xml:space="preserve">Please answer each question with a 10 – 15 sentence response. Citing academic resources is </w:t>
      </w:r>
      <w:bookmarkStart w:id="0" w:name="_GoBack"/>
      <w:bookmarkEnd w:id="0"/>
      <w:r w:rsidRPr="00036EFE">
        <w:rPr>
          <w:rFonts w:ascii="Trebuchet MS" w:hAnsi="Trebuchet MS"/>
          <w:b/>
          <w:color w:val="333333"/>
          <w:sz w:val="20"/>
          <w:szCs w:val="20"/>
          <w:shd w:val="clear" w:color="auto" w:fill="FFFFFF"/>
        </w:rPr>
        <w:t>encouraged but not required. APA format if in text citations are used.</w:t>
      </w:r>
    </w:p>
    <w:p w14:paraId="7A2E9FCC" w14:textId="223B6194" w:rsidR="00C50A0E" w:rsidRDefault="00C50A0E">
      <w:pPr>
        <w:rPr>
          <w:rFonts w:ascii="Trebuchet MS" w:hAnsi="Trebuchet MS"/>
          <w:color w:val="333333"/>
          <w:sz w:val="20"/>
          <w:szCs w:val="20"/>
          <w:shd w:val="clear" w:color="auto" w:fill="FFFFFF"/>
        </w:rPr>
      </w:pPr>
      <w:r>
        <w:rPr>
          <w:rFonts w:ascii="Trebuchet MS" w:hAnsi="Trebuchet MS"/>
          <w:color w:val="333333"/>
          <w:sz w:val="20"/>
          <w:szCs w:val="20"/>
          <w:shd w:val="clear" w:color="auto" w:fill="FFFFFF"/>
        </w:rPr>
        <w:t xml:space="preserve">Look at the Focus on Ethics box (“How Fair Is Check </w:t>
      </w:r>
      <w:proofErr w:type="gramStart"/>
      <w:r>
        <w:rPr>
          <w:rFonts w:ascii="Trebuchet MS" w:hAnsi="Trebuchet MS"/>
          <w:color w:val="333333"/>
          <w:sz w:val="20"/>
          <w:szCs w:val="20"/>
          <w:shd w:val="clear" w:color="auto" w:fill="FFFFFF"/>
        </w:rPr>
        <w:t>Into</w:t>
      </w:r>
      <w:proofErr w:type="gramEnd"/>
      <w:r>
        <w:rPr>
          <w:rFonts w:ascii="Trebuchet MS" w:hAnsi="Trebuchet MS"/>
          <w:color w:val="333333"/>
          <w:sz w:val="20"/>
          <w:szCs w:val="20"/>
          <w:shd w:val="clear" w:color="auto" w:fill="FFFFFF"/>
        </w:rPr>
        <w:t xml:space="preserve"> Cash”) in Chapter 5 of the textbook. These, businesses quote an interest rate of 15% to loan customers (most of whom are </w:t>
      </w:r>
      <w:proofErr w:type="gramStart"/>
      <w:r>
        <w:rPr>
          <w:rFonts w:ascii="Trebuchet MS" w:hAnsi="Trebuchet MS"/>
          <w:color w:val="333333"/>
          <w:sz w:val="20"/>
          <w:szCs w:val="20"/>
          <w:shd w:val="clear" w:color="auto" w:fill="FFFFFF"/>
        </w:rPr>
        <w:t>fairly unsophisticated</w:t>
      </w:r>
      <w:proofErr w:type="gramEnd"/>
      <w:r>
        <w:rPr>
          <w:rFonts w:ascii="Trebuchet MS" w:hAnsi="Trebuchet MS"/>
          <w:color w:val="333333"/>
          <w:sz w:val="20"/>
          <w:szCs w:val="20"/>
          <w:shd w:val="clear" w:color="auto" w:fill="FFFFFF"/>
        </w:rPr>
        <w:t>) and yet the EAR of the loan is close to 400%. Explain the wide discrepancy between these rates. What do you believe is the correct regulatory response to these types of lenders?</w:t>
      </w:r>
    </w:p>
    <w:p w14:paraId="5B1B310C" w14:textId="48BEE41C" w:rsidR="00463D54" w:rsidRDefault="00463D54">
      <w:pPr>
        <w:rPr>
          <w:rFonts w:ascii="Trebuchet MS" w:hAnsi="Trebuchet MS"/>
          <w:color w:val="333333"/>
          <w:sz w:val="20"/>
          <w:szCs w:val="20"/>
          <w:shd w:val="clear" w:color="auto" w:fill="FFFFFF"/>
        </w:rPr>
      </w:pPr>
      <w:r>
        <w:rPr>
          <w:rFonts w:ascii="Trebuchet MS" w:hAnsi="Trebuchet MS"/>
          <w:noProof/>
          <w:color w:val="333333"/>
          <w:sz w:val="20"/>
          <w:szCs w:val="20"/>
          <w:shd w:val="clear" w:color="auto" w:fill="FFFFFF"/>
        </w:rPr>
        <w:drawing>
          <wp:inline distT="0" distB="0" distL="0" distR="0" wp14:anchorId="5E41E5B4" wp14:editId="6599C311">
            <wp:extent cx="5943600" cy="4860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cus on Ethics.PNG"/>
                    <pic:cNvPicPr/>
                  </pic:nvPicPr>
                  <pic:blipFill>
                    <a:blip r:embed="rId5">
                      <a:extLst>
                        <a:ext uri="{28A0092B-C50C-407E-A947-70E740481C1C}">
                          <a14:useLocalDpi xmlns:a14="http://schemas.microsoft.com/office/drawing/2010/main" val="0"/>
                        </a:ext>
                      </a:extLst>
                    </a:blip>
                    <a:stretch>
                      <a:fillRect/>
                    </a:stretch>
                  </pic:blipFill>
                  <pic:spPr>
                    <a:xfrm>
                      <a:off x="0" y="0"/>
                      <a:ext cx="5943600" cy="4860290"/>
                    </a:xfrm>
                    <a:prstGeom prst="rect">
                      <a:avLst/>
                    </a:prstGeom>
                  </pic:spPr>
                </pic:pic>
              </a:graphicData>
            </a:graphic>
          </wp:inline>
        </w:drawing>
      </w:r>
    </w:p>
    <w:p w14:paraId="3FB6DD0A" w14:textId="77777777" w:rsidR="00C50A0E" w:rsidRDefault="00C50A0E">
      <w:pPr>
        <w:rPr>
          <w:rFonts w:ascii="Trebuchet MS" w:hAnsi="Trebuchet MS"/>
          <w:color w:val="333333"/>
          <w:sz w:val="20"/>
          <w:szCs w:val="20"/>
          <w:shd w:val="clear" w:color="auto" w:fill="FFFFFF"/>
        </w:rPr>
      </w:pPr>
    </w:p>
    <w:p w14:paraId="79A1B3D8" w14:textId="654A90C9" w:rsidR="00C50A0E" w:rsidRDefault="00C50A0E">
      <w:pPr>
        <w:rPr>
          <w:rFonts w:ascii="Trebuchet MS" w:hAnsi="Trebuchet MS"/>
          <w:color w:val="333333"/>
          <w:sz w:val="20"/>
          <w:szCs w:val="20"/>
          <w:shd w:val="clear" w:color="auto" w:fill="FFFFFF"/>
        </w:rPr>
      </w:pPr>
      <w:r>
        <w:rPr>
          <w:rFonts w:ascii="Trebuchet MS" w:hAnsi="Trebuchet MS"/>
          <w:color w:val="333333"/>
          <w:sz w:val="20"/>
          <w:szCs w:val="20"/>
          <w:shd w:val="clear" w:color="auto" w:fill="FFFFFF"/>
        </w:rPr>
        <w:t>There is an inverse relationship between interest rate changes and changes in the market price of outstanding bonds. Explain the logic behind this principle. Given this relationship, do you believe it is currently a good time to buy bonds? Why or why not?</w:t>
      </w:r>
    </w:p>
    <w:p w14:paraId="78A16C26" w14:textId="77777777" w:rsidR="00C50A0E" w:rsidRDefault="00C50A0E">
      <w:pPr>
        <w:rPr>
          <w:rFonts w:ascii="Trebuchet MS" w:hAnsi="Trebuchet MS"/>
          <w:color w:val="333333"/>
          <w:sz w:val="20"/>
          <w:szCs w:val="20"/>
          <w:shd w:val="clear" w:color="auto" w:fill="FFFFFF"/>
        </w:rPr>
      </w:pPr>
    </w:p>
    <w:p w14:paraId="217075BB" w14:textId="63BED4AE" w:rsidR="00C50A0E" w:rsidRDefault="00C50A0E">
      <w:pPr>
        <w:rPr>
          <w:rFonts w:ascii="Trebuchet MS" w:hAnsi="Trebuchet MS"/>
          <w:color w:val="333333"/>
          <w:sz w:val="20"/>
          <w:szCs w:val="20"/>
          <w:shd w:val="clear" w:color="auto" w:fill="FFFFFF"/>
        </w:rPr>
      </w:pPr>
      <w:r>
        <w:rPr>
          <w:rFonts w:ascii="Trebuchet MS" w:hAnsi="Trebuchet MS"/>
          <w:color w:val="333333"/>
          <w:sz w:val="20"/>
          <w:szCs w:val="20"/>
          <w:shd w:val="clear" w:color="auto" w:fill="FFFFFF"/>
        </w:rPr>
        <w:t>Agencies such as Moody’s, Fitch, and Standard &amp; Poor's rate the default risk of various municipal and corporate bonds. While their rating systems are proprietary, it is widely known that they rely on financial ratios as key inputs to their bond ratings. Which financial ratios (list at least two) do you believe would be the most helpful to rate corporate bonds? Why?</w:t>
      </w:r>
    </w:p>
    <w:p w14:paraId="2AF20030" w14:textId="77777777" w:rsidR="00C50A0E" w:rsidRDefault="00C50A0E">
      <w:pPr>
        <w:rPr>
          <w:rFonts w:ascii="Trebuchet MS" w:hAnsi="Trebuchet MS"/>
          <w:color w:val="333333"/>
          <w:sz w:val="20"/>
          <w:szCs w:val="20"/>
          <w:shd w:val="clear" w:color="auto" w:fill="FFFFFF"/>
        </w:rPr>
      </w:pPr>
    </w:p>
    <w:p w14:paraId="51D3DBDB" w14:textId="20FDF746" w:rsidR="00C50A0E" w:rsidRDefault="00C50A0E">
      <w:pPr>
        <w:rPr>
          <w:rFonts w:ascii="Trebuchet MS" w:hAnsi="Trebuchet MS"/>
          <w:color w:val="333333"/>
          <w:sz w:val="20"/>
          <w:szCs w:val="20"/>
          <w:shd w:val="clear" w:color="auto" w:fill="FFFFFF"/>
        </w:rPr>
      </w:pPr>
      <w:r>
        <w:rPr>
          <w:rFonts w:ascii="Trebuchet MS" w:hAnsi="Trebuchet MS"/>
          <w:color w:val="333333"/>
          <w:sz w:val="20"/>
          <w:szCs w:val="20"/>
          <w:shd w:val="clear" w:color="auto" w:fill="FFFFFF"/>
        </w:rPr>
        <w:lastRenderedPageBreak/>
        <w:t>Several stock valuation models were described in the chapter, including zero-growth, constant growth, variable growth, free cash flow, book value, and P/E multiple models. Which of these do you believe would generate the most accurate value estimates for most firms? Explain your choice.</w:t>
      </w:r>
    </w:p>
    <w:p w14:paraId="4A03F6FF" w14:textId="77777777" w:rsidR="00C50A0E" w:rsidRPr="00FB2E9F" w:rsidRDefault="00C50A0E">
      <w:pPr>
        <w:rPr>
          <w:rFonts w:ascii="Trebuchet MS" w:hAnsi="Trebuchet MS"/>
          <w:sz w:val="20"/>
          <w:szCs w:val="20"/>
          <w:shd w:val="clear" w:color="auto" w:fill="FFFFFF"/>
        </w:rPr>
      </w:pPr>
    </w:p>
    <w:p w14:paraId="27036BB5" w14:textId="152761D1" w:rsidR="00C50A0E" w:rsidRPr="00FB2E9F" w:rsidRDefault="00C50A0E" w:rsidP="00C50A0E">
      <w:pPr>
        <w:rPr>
          <w:rFonts w:ascii="Trebuchet MS" w:hAnsi="Trebuchet MS"/>
          <w:sz w:val="20"/>
          <w:szCs w:val="20"/>
          <w:shd w:val="clear" w:color="auto" w:fill="FFFFFF"/>
        </w:rPr>
      </w:pPr>
      <w:r w:rsidRPr="00FB2E9F">
        <w:rPr>
          <w:rFonts w:ascii="Trebuchet MS" w:hAnsi="Trebuchet MS"/>
          <w:sz w:val="20"/>
          <w:szCs w:val="20"/>
          <w:shd w:val="clear" w:color="auto" w:fill="FFFFFF"/>
        </w:rPr>
        <w:t>Read the Focus on Ethics box ("</w:t>
      </w:r>
      <w:proofErr w:type="spellStart"/>
      <w:r w:rsidRPr="00FB2E9F">
        <w:rPr>
          <w:rFonts w:ascii="Trebuchet MS" w:hAnsi="Trebuchet MS"/>
          <w:sz w:val="20"/>
          <w:szCs w:val="20"/>
          <w:shd w:val="clear" w:color="auto" w:fill="FFFFFF"/>
        </w:rPr>
        <w:t>Psst</w:t>
      </w:r>
      <w:proofErr w:type="spellEnd"/>
      <w:r w:rsidRPr="00FB2E9F">
        <w:rPr>
          <w:rFonts w:ascii="Trebuchet MS" w:hAnsi="Trebuchet MS"/>
          <w:sz w:val="20"/>
          <w:szCs w:val="20"/>
          <w:shd w:val="clear" w:color="auto" w:fill="FFFFFF"/>
        </w:rPr>
        <w:t>! Have You Heard Any Good Quarterly Earnings Forecasts Lately?"). Explain what quarterly earnings guidance is, and what purpose it is supposed to serve. If you were a corporate CEO, would you discontinue this practice? Why or why not?</w:t>
      </w:r>
    </w:p>
    <w:p w14:paraId="22E045DA" w14:textId="2A14AF88" w:rsidR="00C50A0E" w:rsidRDefault="00FB2E9F" w:rsidP="00C50A0E">
      <w:pPr>
        <w:rPr>
          <w:rFonts w:ascii="Trebuchet MS" w:hAnsi="Trebuchet MS"/>
          <w:color w:val="333333"/>
          <w:sz w:val="20"/>
          <w:szCs w:val="20"/>
          <w:shd w:val="clear" w:color="auto" w:fill="FFFFFF"/>
        </w:rPr>
      </w:pPr>
      <w:r>
        <w:rPr>
          <w:rFonts w:ascii="Trebuchet MS" w:hAnsi="Trebuchet MS"/>
          <w:noProof/>
          <w:color w:val="333333"/>
          <w:sz w:val="20"/>
          <w:szCs w:val="20"/>
          <w:shd w:val="clear" w:color="auto" w:fill="FFFFFF"/>
        </w:rPr>
        <w:drawing>
          <wp:inline distT="0" distB="0" distL="0" distR="0" wp14:anchorId="769ECBD8" wp14:editId="40D13415">
            <wp:extent cx="5943600" cy="4117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cus on Ethics(1).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117975"/>
                    </a:xfrm>
                    <a:prstGeom prst="rect">
                      <a:avLst/>
                    </a:prstGeom>
                  </pic:spPr>
                </pic:pic>
              </a:graphicData>
            </a:graphic>
          </wp:inline>
        </w:drawing>
      </w:r>
    </w:p>
    <w:p w14:paraId="0AD5F1E5" w14:textId="10E47525" w:rsidR="00C50A0E" w:rsidRDefault="00C50A0E" w:rsidP="00C50A0E">
      <w:pPr>
        <w:rPr>
          <w:rFonts w:ascii="Trebuchet MS" w:hAnsi="Trebuchet MS"/>
          <w:color w:val="333333"/>
          <w:sz w:val="20"/>
          <w:szCs w:val="20"/>
          <w:shd w:val="clear" w:color="auto" w:fill="FFFFFF"/>
        </w:rPr>
      </w:pPr>
      <w:r>
        <w:rPr>
          <w:rFonts w:ascii="Trebuchet MS" w:hAnsi="Trebuchet MS"/>
          <w:color w:val="333333"/>
          <w:sz w:val="20"/>
          <w:szCs w:val="20"/>
          <w:shd w:val="clear" w:color="auto" w:fill="FFFFFF"/>
        </w:rPr>
        <w:t>Diversification occurs when stocks with low correlations of returns are placed together in a portfolio. Identify at least one type of firm that might exhibit low correlations of returns with the overall stock market? Explain why the correlations of these firms are expected to be low.</w:t>
      </w:r>
    </w:p>
    <w:p w14:paraId="276EC1B8" w14:textId="77777777" w:rsidR="00C50A0E" w:rsidRDefault="00C50A0E" w:rsidP="00C50A0E">
      <w:pPr>
        <w:rPr>
          <w:rFonts w:ascii="Trebuchet MS" w:hAnsi="Trebuchet MS"/>
          <w:color w:val="333333"/>
          <w:sz w:val="20"/>
          <w:szCs w:val="20"/>
          <w:shd w:val="clear" w:color="auto" w:fill="FFFFFF"/>
        </w:rPr>
      </w:pPr>
    </w:p>
    <w:p w14:paraId="1E18F1A1" w14:textId="5F0A68F0" w:rsidR="00C50A0E" w:rsidRDefault="00C50A0E" w:rsidP="00C50A0E">
      <w:pPr>
        <w:rPr>
          <w:rFonts w:ascii="Trebuchet MS" w:hAnsi="Trebuchet MS"/>
          <w:color w:val="333333"/>
          <w:sz w:val="20"/>
          <w:szCs w:val="20"/>
          <w:shd w:val="clear" w:color="auto" w:fill="FFFFFF"/>
        </w:rPr>
      </w:pPr>
      <w:r>
        <w:rPr>
          <w:rFonts w:ascii="Trebuchet MS" w:hAnsi="Trebuchet MS"/>
          <w:color w:val="333333"/>
          <w:sz w:val="20"/>
          <w:szCs w:val="20"/>
          <w:shd w:val="clear" w:color="auto" w:fill="FFFFFF"/>
        </w:rPr>
        <w:t>In general, the cost of debt capital is lower than the cost of equity capital. For this reason, it might be expected that firms with high debt ratios would have a lower weighted average cost of capital. Explain at least one reason why this is not the case.</w:t>
      </w:r>
    </w:p>
    <w:p w14:paraId="2D68A8C3" w14:textId="77777777" w:rsidR="00C50A0E" w:rsidRDefault="00C50A0E" w:rsidP="00C50A0E">
      <w:pPr>
        <w:rPr>
          <w:rFonts w:ascii="Trebuchet MS" w:hAnsi="Trebuchet MS"/>
          <w:color w:val="333333"/>
          <w:sz w:val="20"/>
          <w:szCs w:val="20"/>
          <w:shd w:val="clear" w:color="auto" w:fill="FFFFFF"/>
        </w:rPr>
      </w:pPr>
    </w:p>
    <w:p w14:paraId="5DE63E5C" w14:textId="5D283DC2" w:rsidR="00C50A0E" w:rsidRDefault="00C50A0E" w:rsidP="00C50A0E">
      <w:pPr>
        <w:rPr>
          <w:rFonts w:ascii="Trebuchet MS" w:hAnsi="Trebuchet MS"/>
          <w:color w:val="333333"/>
          <w:sz w:val="20"/>
          <w:szCs w:val="20"/>
          <w:shd w:val="clear" w:color="auto" w:fill="FFFFFF"/>
        </w:rPr>
      </w:pPr>
      <w:r w:rsidRPr="00FB2E9F">
        <w:rPr>
          <w:rFonts w:ascii="Trebuchet MS" w:hAnsi="Trebuchet MS"/>
          <w:color w:val="333333"/>
          <w:sz w:val="20"/>
          <w:szCs w:val="20"/>
          <w:shd w:val="clear" w:color="auto" w:fill="FFFFFF"/>
        </w:rPr>
        <w:t>Which capital investment technique does the discussion in the textbook favor</w:t>
      </w:r>
      <w:r w:rsidR="00FB2E9F">
        <w:rPr>
          <w:rFonts w:ascii="Trebuchet MS" w:hAnsi="Trebuchet MS"/>
          <w:color w:val="333333"/>
          <w:sz w:val="20"/>
          <w:szCs w:val="20"/>
          <w:shd w:val="clear" w:color="auto" w:fill="FFFFFF"/>
        </w:rPr>
        <w:t>? (</w:t>
      </w:r>
      <w:r w:rsidR="00FB2E9F">
        <w:rPr>
          <w:rFonts w:ascii="Trebuchet MS" w:hAnsi="Trebuchet MS"/>
          <w:color w:val="333333"/>
          <w:sz w:val="20"/>
          <w:szCs w:val="20"/>
          <w:shd w:val="clear" w:color="auto" w:fill="FFFFFF"/>
        </w:rPr>
        <w:t>Net Present Value</w:t>
      </w:r>
      <w:r w:rsidR="00FB2E9F">
        <w:rPr>
          <w:rFonts w:ascii="Trebuchet MS" w:hAnsi="Trebuchet MS"/>
          <w:color w:val="333333"/>
          <w:sz w:val="20"/>
          <w:szCs w:val="20"/>
          <w:shd w:val="clear" w:color="auto" w:fill="FFFFFF"/>
        </w:rPr>
        <w:t xml:space="preserve">) </w:t>
      </w:r>
      <w:r w:rsidRPr="00FB2E9F">
        <w:rPr>
          <w:rFonts w:ascii="Trebuchet MS" w:hAnsi="Trebuchet MS"/>
          <w:color w:val="333333"/>
          <w:sz w:val="20"/>
          <w:szCs w:val="20"/>
          <w:shd w:val="clear" w:color="auto" w:fill="FFFFFF"/>
        </w:rPr>
        <w:t>Why</w:t>
      </w:r>
      <w:r w:rsidR="00DB5B19">
        <w:rPr>
          <w:rFonts w:ascii="Trebuchet MS" w:hAnsi="Trebuchet MS"/>
          <w:color w:val="333333"/>
          <w:sz w:val="20"/>
          <w:szCs w:val="20"/>
          <w:shd w:val="clear" w:color="auto" w:fill="FFFFFF"/>
        </w:rPr>
        <w:t>?</w:t>
      </w:r>
      <w:r w:rsidR="00FB2E9F">
        <w:rPr>
          <w:rFonts w:ascii="Trebuchet MS" w:hAnsi="Trebuchet MS"/>
          <w:color w:val="333333"/>
          <w:sz w:val="20"/>
          <w:szCs w:val="20"/>
          <w:shd w:val="clear" w:color="auto" w:fill="FFFFFF"/>
        </w:rPr>
        <w:t xml:space="preserve"> (The </w:t>
      </w:r>
      <w:r w:rsidR="00DB5B19">
        <w:rPr>
          <w:rFonts w:ascii="Trebuchet MS" w:hAnsi="Trebuchet MS"/>
          <w:color w:val="333333"/>
          <w:sz w:val="20"/>
          <w:szCs w:val="20"/>
          <w:shd w:val="clear" w:color="auto" w:fill="FFFFFF"/>
        </w:rPr>
        <w:t>intuition behind the MPV method is simple</w:t>
      </w:r>
      <w:r w:rsidR="00FB2E9F">
        <w:rPr>
          <w:rFonts w:ascii="Trebuchet MS" w:hAnsi="Trebuchet MS"/>
          <w:color w:val="333333"/>
          <w:sz w:val="20"/>
          <w:szCs w:val="20"/>
          <w:shd w:val="clear" w:color="auto" w:fill="FFFFFF"/>
        </w:rPr>
        <w:t>)</w:t>
      </w:r>
      <w:r w:rsidRPr="00FB2E9F">
        <w:rPr>
          <w:rFonts w:ascii="Trebuchet MS" w:hAnsi="Trebuchet MS"/>
          <w:color w:val="333333"/>
          <w:sz w:val="20"/>
          <w:szCs w:val="20"/>
          <w:shd w:val="clear" w:color="auto" w:fill="FFFFFF"/>
        </w:rPr>
        <w:t xml:space="preserve"> Do you agree with this assessment?</w:t>
      </w:r>
      <w:r>
        <w:rPr>
          <w:rFonts w:ascii="Trebuchet MS" w:hAnsi="Trebuchet MS"/>
          <w:color w:val="333333"/>
          <w:sz w:val="20"/>
          <w:szCs w:val="20"/>
          <w:shd w:val="clear" w:color="auto" w:fill="FFFFFF"/>
        </w:rPr>
        <w:t> </w:t>
      </w:r>
    </w:p>
    <w:p w14:paraId="7AEABB68" w14:textId="77777777" w:rsidR="00C50A0E" w:rsidRDefault="00C50A0E" w:rsidP="00C50A0E">
      <w:pPr>
        <w:rPr>
          <w:rFonts w:ascii="Trebuchet MS" w:hAnsi="Trebuchet MS"/>
          <w:color w:val="333333"/>
          <w:sz w:val="20"/>
          <w:szCs w:val="20"/>
          <w:shd w:val="clear" w:color="auto" w:fill="FFFFFF"/>
        </w:rPr>
      </w:pPr>
    </w:p>
    <w:p w14:paraId="2A20CD92" w14:textId="3A512B21" w:rsidR="00C50A0E" w:rsidRDefault="00C50A0E" w:rsidP="00C50A0E">
      <w:r>
        <w:rPr>
          <w:rFonts w:ascii="Trebuchet MS" w:hAnsi="Trebuchet MS"/>
          <w:color w:val="333333"/>
          <w:sz w:val="20"/>
          <w:szCs w:val="20"/>
          <w:shd w:val="clear" w:color="auto" w:fill="FFFFFF"/>
        </w:rPr>
        <w:lastRenderedPageBreak/>
        <w:t>Assume your firm has multiple investments to consider each with differing risk levels. How can differing risk levels be incorporated into NPV analysis? How can they be incorporated into IRR analysis?  </w:t>
      </w:r>
    </w:p>
    <w:sectPr w:rsidR="00C50A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C08A5"/>
    <w:multiLevelType w:val="hybridMultilevel"/>
    <w:tmpl w:val="EF20514A"/>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A0E"/>
    <w:rsid w:val="00036EFE"/>
    <w:rsid w:val="00433219"/>
    <w:rsid w:val="00463D54"/>
    <w:rsid w:val="00C50A0E"/>
    <w:rsid w:val="00CB0B85"/>
    <w:rsid w:val="00DB5B19"/>
    <w:rsid w:val="00FB2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9BC1E"/>
  <w15:chartTrackingRefBased/>
  <w15:docId w15:val="{0E3AC5FA-D930-4E9E-8A61-73234B64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A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Seeman</dc:creator>
  <cp:keywords/>
  <dc:description/>
  <cp:lastModifiedBy>Hunter Seeman</cp:lastModifiedBy>
  <cp:revision>2</cp:revision>
  <dcterms:created xsi:type="dcterms:W3CDTF">2019-02-07T04:24:00Z</dcterms:created>
  <dcterms:modified xsi:type="dcterms:W3CDTF">2019-02-07T04:24:00Z</dcterms:modified>
</cp:coreProperties>
</file>